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B5AE" w14:textId="2481CA98" w:rsidR="00584FBF" w:rsidRPr="00AF7630" w:rsidRDefault="00584FBF" w:rsidP="00584FBF">
      <w:pPr>
        <w:rPr>
          <w:sz w:val="28"/>
          <w:szCs w:val="28"/>
        </w:rPr>
      </w:pPr>
      <w:r>
        <w:rPr>
          <w:noProof/>
        </w:rPr>
        <w:drawing>
          <wp:anchor distT="0" distB="0" distL="114300" distR="114300" simplePos="0" relativeHeight="251659264" behindDoc="0" locked="0" layoutInCell="1" allowOverlap="1" wp14:anchorId="1FAA6F46" wp14:editId="640064C2">
            <wp:simplePos x="0" y="0"/>
            <wp:positionH relativeFrom="column">
              <wp:posOffset>5423535</wp:posOffset>
            </wp:positionH>
            <wp:positionV relativeFrom="page">
              <wp:posOffset>313279</wp:posOffset>
            </wp:positionV>
            <wp:extent cx="1344295" cy="57086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B_outline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295" cy="570865"/>
                    </a:xfrm>
                    <a:prstGeom prst="rect">
                      <a:avLst/>
                    </a:prstGeom>
                  </pic:spPr>
                </pic:pic>
              </a:graphicData>
            </a:graphic>
            <wp14:sizeRelH relativeFrom="page">
              <wp14:pctWidth>0</wp14:pctWidth>
            </wp14:sizeRelH>
            <wp14:sizeRelV relativeFrom="page">
              <wp14:pctHeight>0</wp14:pctHeight>
            </wp14:sizeRelV>
          </wp:anchor>
        </w:drawing>
      </w:r>
      <w:r w:rsidRPr="00AF7630">
        <w:rPr>
          <w:sz w:val="28"/>
          <w:szCs w:val="28"/>
        </w:rPr>
        <w:t>MEGESTROL ACETATE (MA) DISCLOSURE</w:t>
      </w:r>
      <w:r w:rsidRPr="00584FBF">
        <w:rPr>
          <w:noProof/>
        </w:rPr>
        <w:t xml:space="preserve"> </w:t>
      </w:r>
    </w:p>
    <w:p w14:paraId="363A9CD1" w14:textId="6CA8D860" w:rsidR="00584FBF" w:rsidRDefault="00584FBF" w:rsidP="00584FBF">
      <w:r>
        <w:t xml:space="preserve">A veterinarian </w:t>
      </w:r>
      <w:r w:rsidRPr="00F83936">
        <w:t xml:space="preserve">will </w:t>
      </w:r>
      <w:r>
        <w:t>examine your cat</w:t>
      </w:r>
      <w:r w:rsidRPr="00F83936">
        <w:t xml:space="preserve"> to determine if she is a good candidate for megestrol acetate (MA) as a method of fertility control while awaiting spay surgery. </w:t>
      </w:r>
    </w:p>
    <w:p w14:paraId="019ED825" w14:textId="77777777" w:rsidR="00584FBF" w:rsidRPr="00F83936" w:rsidRDefault="00584FBF" w:rsidP="00584FBF">
      <w:r w:rsidRPr="00F83936">
        <w:t>MA is an oral contraceptive that can be used to prevent pregnancy and estrus (heat) cycles in dog</w:t>
      </w:r>
      <w:r>
        <w:t>s and cats.</w:t>
      </w:r>
      <w:r w:rsidRPr="00F83936">
        <w:t xml:space="preserve"> </w:t>
      </w:r>
      <w:r>
        <w:t xml:space="preserve">While it has been approved by the Food and Drug Administration (FDA) for use in dogs, </w:t>
      </w:r>
      <w:r w:rsidRPr="00CD34D5">
        <w:t xml:space="preserve">use of MA in cats is considered “off label." This means </w:t>
      </w:r>
      <w:r>
        <w:t xml:space="preserve">that </w:t>
      </w:r>
      <w:r w:rsidRPr="00CD34D5">
        <w:t>it has not been submitted t</w:t>
      </w:r>
      <w:r>
        <w:t xml:space="preserve">o, </w:t>
      </w:r>
      <w:r w:rsidRPr="00CD34D5">
        <w:t>reviewed</w:t>
      </w:r>
      <w:r>
        <w:t>,</w:t>
      </w:r>
      <w:r w:rsidRPr="00CD34D5">
        <w:t xml:space="preserve"> or approved by the FDA.</w:t>
      </w:r>
      <w:r>
        <w:t xml:space="preserve"> Because the</w:t>
      </w:r>
      <w:r w:rsidRPr="00F83936">
        <w:t xml:space="preserve"> safety and effectiveness of MA have not been studied to the extent required for </w:t>
      </w:r>
      <w:r>
        <w:t>FDA</w:t>
      </w:r>
      <w:r w:rsidRPr="00F83936">
        <w:t xml:space="preserve"> approval</w:t>
      </w:r>
      <w:r>
        <w:t xml:space="preserve">, </w:t>
      </w:r>
      <w:r w:rsidRPr="00F83936">
        <w:t>information available on its safety and effectiveness is from studies published in peer</w:t>
      </w:r>
      <w:r>
        <w:t>-</w:t>
      </w:r>
      <w:r w:rsidRPr="00F83936">
        <w:t>reviewed</w:t>
      </w:r>
      <w:r>
        <w:t xml:space="preserve"> scientific</w:t>
      </w:r>
      <w:r w:rsidRPr="00F83936">
        <w:t xml:space="preserve"> journals. </w:t>
      </w:r>
      <w:r>
        <w:t>Note,</w:t>
      </w:r>
      <w:r w:rsidRPr="00F83936">
        <w:t xml:space="preserve"> many common drugs used in veterinary medicine are considered off-label by </w:t>
      </w:r>
      <w:r>
        <w:t>FDA</w:t>
      </w:r>
      <w:r w:rsidRPr="00F83936">
        <w:t xml:space="preserve"> standards. MA is available from compounding pharmacies for off</w:t>
      </w:r>
      <w:r>
        <w:t>-</w:t>
      </w:r>
      <w:r w:rsidRPr="00F83936">
        <w:t xml:space="preserve">label use. </w:t>
      </w:r>
    </w:p>
    <w:p w14:paraId="45D6AB3A" w14:textId="77777777" w:rsidR="00584FBF" w:rsidRPr="00EA73C2" w:rsidRDefault="00584FBF" w:rsidP="00584FBF">
      <w:r>
        <w:rPr>
          <w:b/>
          <w:bCs/>
        </w:rPr>
        <w:t>Giving</w:t>
      </w:r>
      <w:r w:rsidRPr="00F83936">
        <w:rPr>
          <w:b/>
          <w:bCs/>
        </w:rPr>
        <w:t xml:space="preserve"> MA</w:t>
      </w:r>
      <w:r>
        <w:rPr>
          <w:b/>
          <w:bCs/>
        </w:rPr>
        <w:t xml:space="preserve"> to your cat</w:t>
      </w:r>
      <w:r w:rsidRPr="00F83936">
        <w:rPr>
          <w:b/>
          <w:bCs/>
        </w:rPr>
        <w:t>:</w:t>
      </w:r>
      <w:r w:rsidRPr="00F83936">
        <w:t xml:space="preserve"> MA is an oral medication</w:t>
      </w:r>
      <w:r>
        <w:t xml:space="preserve">. </w:t>
      </w:r>
      <w:r w:rsidRPr="00F83936">
        <w:t xml:space="preserve">MA purchased from CAT will be </w:t>
      </w:r>
      <w:r>
        <w:t>supplied</w:t>
      </w:r>
      <w:r w:rsidRPr="00F83936">
        <w:t xml:space="preserve"> in syringes that </w:t>
      </w:r>
      <w:r>
        <w:t>are</w:t>
      </w:r>
      <w:r w:rsidRPr="00F83936">
        <w:t xml:space="preserve"> prefilled with the proper dosage</w:t>
      </w:r>
      <w:r>
        <w:t>.</w:t>
      </w:r>
      <w:r w:rsidRPr="00F83936">
        <w:t xml:space="preserve"> If you mix the medication in food, </w:t>
      </w:r>
      <w:r>
        <w:t>make sure</w:t>
      </w:r>
      <w:r w:rsidRPr="00F83936">
        <w:t xml:space="preserve"> no other animal eats the food. </w:t>
      </w:r>
      <w:r w:rsidRPr="00EA73C2">
        <w:t xml:space="preserve">If you miss a dose, </w:t>
      </w:r>
      <w:r>
        <w:t>g</w:t>
      </w:r>
      <w:r w:rsidRPr="002E6377">
        <w:t>ive the dose as soon as possible. If it</w:t>
      </w:r>
      <w:r>
        <w:t>’</w:t>
      </w:r>
      <w:r w:rsidRPr="002E6377">
        <w:t>s almost time for the next dose, skip the missed dose, and continue with the regular schedule. Do not give two doses at once.</w:t>
      </w:r>
    </w:p>
    <w:p w14:paraId="5773BB38" w14:textId="77777777" w:rsidR="00584FBF" w:rsidRDefault="00584FBF" w:rsidP="00584FBF">
      <w:r w:rsidRPr="00F83936">
        <w:rPr>
          <w:b/>
          <w:bCs/>
        </w:rPr>
        <w:t>Side effects:</w:t>
      </w:r>
      <w:r w:rsidRPr="00F83936">
        <w:t xml:space="preserve"> Research strongly suggests side effects are more common with higher doses and longer durations of use. Some side effects may resolve once the cat is taken off the medication, others may be permanent</w:t>
      </w:r>
      <w:r>
        <w:t xml:space="preserve">. </w:t>
      </w:r>
    </w:p>
    <w:tbl>
      <w:tblPr>
        <w:tblStyle w:val="TableGrid"/>
        <w:tblW w:w="10790" w:type="dxa"/>
        <w:tblInd w:w="-5" w:type="dxa"/>
        <w:tblLook w:val="04A0" w:firstRow="1" w:lastRow="0" w:firstColumn="1" w:lastColumn="0" w:noHBand="0" w:noVBand="1"/>
      </w:tblPr>
      <w:tblGrid>
        <w:gridCol w:w="2335"/>
        <w:gridCol w:w="8455"/>
      </w:tblGrid>
      <w:tr w:rsidR="00584FBF" w:rsidRPr="00F83936" w14:paraId="2657EC7F" w14:textId="77777777" w:rsidTr="005F1E20">
        <w:trPr>
          <w:trHeight w:val="1232"/>
        </w:trPr>
        <w:tc>
          <w:tcPr>
            <w:tcW w:w="2335" w:type="dxa"/>
          </w:tcPr>
          <w:p w14:paraId="0DE22EE9" w14:textId="77777777" w:rsidR="00584FBF" w:rsidRDefault="00584FBF" w:rsidP="005F1E20">
            <w:pPr>
              <w:rPr>
                <w:b/>
                <w:bCs/>
              </w:rPr>
            </w:pPr>
            <w:r w:rsidRPr="007F58ED">
              <w:t xml:space="preserve">Side effects associated with </w:t>
            </w:r>
            <w:r w:rsidRPr="007F58ED">
              <w:rPr>
                <w:i/>
                <w:iCs/>
              </w:rPr>
              <w:t>low-dose</w:t>
            </w:r>
            <w:r w:rsidRPr="007F58ED">
              <w:t xml:space="preserve"> MA</w:t>
            </w:r>
            <w:r w:rsidRPr="00F83936">
              <w:rPr>
                <w:b/>
                <w:bCs/>
              </w:rPr>
              <w:t xml:space="preserve"> </w:t>
            </w:r>
          </w:p>
          <w:p w14:paraId="392E52C6" w14:textId="77777777" w:rsidR="00584FBF" w:rsidRPr="00F83936" w:rsidRDefault="00584FBF" w:rsidP="005F1E20">
            <w:r w:rsidRPr="00B87E4E">
              <w:t>(</w:t>
            </w:r>
            <w:r w:rsidRPr="00F83936">
              <w:t xml:space="preserve">2.5mg </w:t>
            </w:r>
            <w:r>
              <w:t>once a</w:t>
            </w:r>
            <w:r w:rsidRPr="00F83936">
              <w:t xml:space="preserve"> week up to 30 w</w:t>
            </w:r>
            <w:r>
              <w:t>ee</w:t>
            </w:r>
            <w:r w:rsidRPr="00F83936">
              <w:t>ks)</w:t>
            </w:r>
          </w:p>
        </w:tc>
        <w:tc>
          <w:tcPr>
            <w:tcW w:w="8455" w:type="dxa"/>
          </w:tcPr>
          <w:p w14:paraId="412A3D43" w14:textId="77777777" w:rsidR="00584FBF" w:rsidRPr="00F83936" w:rsidRDefault="00584FBF" w:rsidP="00584FBF">
            <w:pPr>
              <w:pStyle w:val="ListParagraph"/>
              <w:numPr>
                <w:ilvl w:val="0"/>
                <w:numId w:val="1"/>
              </w:numPr>
              <w:ind w:left="348"/>
            </w:pPr>
            <w:r w:rsidRPr="00F83936">
              <w:t>Increased hunger and weight gain (most common)</w:t>
            </w:r>
          </w:p>
          <w:p w14:paraId="0C7D0A2F" w14:textId="77777777" w:rsidR="00584FBF" w:rsidRPr="00F83936" w:rsidRDefault="00584FBF" w:rsidP="00584FBF">
            <w:pPr>
              <w:pStyle w:val="ListParagraph"/>
              <w:numPr>
                <w:ilvl w:val="0"/>
                <w:numId w:val="1"/>
              </w:numPr>
              <w:ind w:left="348"/>
            </w:pPr>
            <w:r w:rsidRPr="00F83936">
              <w:t>Behavioral changes i.e., increased friendliness</w:t>
            </w:r>
            <w:r>
              <w:t xml:space="preserve"> or </w:t>
            </w:r>
            <w:r w:rsidRPr="00F83936">
              <w:t xml:space="preserve">aggressiveness </w:t>
            </w:r>
            <w:r>
              <w:t>(most common)</w:t>
            </w:r>
          </w:p>
          <w:p w14:paraId="33FC748F" w14:textId="77777777" w:rsidR="00584FBF" w:rsidRDefault="00584FBF" w:rsidP="00584FBF">
            <w:pPr>
              <w:pStyle w:val="ListParagraph"/>
              <w:numPr>
                <w:ilvl w:val="0"/>
                <w:numId w:val="1"/>
              </w:numPr>
              <w:ind w:left="348"/>
            </w:pPr>
            <w:r>
              <w:t>Mammary gland swelling after 1st dose that resolves after 2</w:t>
            </w:r>
            <w:r w:rsidRPr="007F58ED">
              <w:rPr>
                <w:vertAlign w:val="superscript"/>
              </w:rPr>
              <w:t>nd</w:t>
            </w:r>
            <w:r>
              <w:t xml:space="preserve"> dose (common)</w:t>
            </w:r>
          </w:p>
          <w:p w14:paraId="7710505D" w14:textId="77777777" w:rsidR="00584FBF" w:rsidRPr="00F83936" w:rsidRDefault="00584FBF" w:rsidP="00584FBF">
            <w:pPr>
              <w:pStyle w:val="ListParagraph"/>
              <w:numPr>
                <w:ilvl w:val="0"/>
                <w:numId w:val="1"/>
              </w:numPr>
              <w:ind w:left="348"/>
            </w:pPr>
            <w:r w:rsidRPr="00F83936">
              <w:t>Effects on fetal development such as stillborn or masculinization of kittens</w:t>
            </w:r>
          </w:p>
          <w:p w14:paraId="47E7E563" w14:textId="77777777" w:rsidR="00584FBF" w:rsidRPr="00F83936" w:rsidRDefault="00584FBF" w:rsidP="00584FBF">
            <w:pPr>
              <w:pStyle w:val="ListParagraph"/>
              <w:numPr>
                <w:ilvl w:val="0"/>
                <w:numId w:val="1"/>
              </w:numPr>
              <w:ind w:left="348"/>
            </w:pPr>
            <w:r w:rsidRPr="00F83936">
              <w:t xml:space="preserve">Inability to lactate </w:t>
            </w:r>
          </w:p>
        </w:tc>
      </w:tr>
      <w:tr w:rsidR="00584FBF" w:rsidRPr="00F83936" w14:paraId="44BA7475" w14:textId="77777777" w:rsidTr="005F1E20">
        <w:trPr>
          <w:trHeight w:val="1124"/>
        </w:trPr>
        <w:tc>
          <w:tcPr>
            <w:tcW w:w="2335" w:type="dxa"/>
          </w:tcPr>
          <w:p w14:paraId="16187C56" w14:textId="77777777" w:rsidR="00584FBF" w:rsidRPr="00F83936" w:rsidRDefault="00584FBF" w:rsidP="005F1E20">
            <w:r w:rsidRPr="007F58ED">
              <w:t xml:space="preserve">Side effects associated with </w:t>
            </w:r>
            <w:r w:rsidRPr="007F58ED">
              <w:rPr>
                <w:i/>
                <w:iCs/>
              </w:rPr>
              <w:t>higher doses</w:t>
            </w:r>
            <w:r w:rsidRPr="00F83936">
              <w:t xml:space="preserve"> (</w:t>
            </w:r>
            <w:r>
              <w:t xml:space="preserve">Greater than </w:t>
            </w:r>
            <w:r w:rsidRPr="00F83936">
              <w:t>2.5mg/</w:t>
            </w:r>
            <w:r>
              <w:t xml:space="preserve"> </w:t>
            </w:r>
            <w:r w:rsidRPr="00F83936">
              <w:t>cat per day</w:t>
            </w:r>
            <w:r>
              <w:t>)</w:t>
            </w:r>
          </w:p>
        </w:tc>
        <w:tc>
          <w:tcPr>
            <w:tcW w:w="8455" w:type="dxa"/>
          </w:tcPr>
          <w:p w14:paraId="4466AB8F" w14:textId="77777777" w:rsidR="00584FBF" w:rsidRPr="00F83936" w:rsidRDefault="00584FBF" w:rsidP="00584FBF">
            <w:pPr>
              <w:pStyle w:val="ListParagraph"/>
              <w:numPr>
                <w:ilvl w:val="0"/>
                <w:numId w:val="2"/>
              </w:numPr>
              <w:ind w:left="348"/>
            </w:pPr>
            <w:r w:rsidRPr="00F83936">
              <w:t>Uterine infections (requires emergency surgery)</w:t>
            </w:r>
          </w:p>
          <w:p w14:paraId="31D06F42" w14:textId="77777777" w:rsidR="00584FBF" w:rsidRPr="00F83936" w:rsidRDefault="00584FBF" w:rsidP="00584FBF">
            <w:pPr>
              <w:pStyle w:val="ListParagraph"/>
              <w:numPr>
                <w:ilvl w:val="0"/>
                <w:numId w:val="2"/>
              </w:numPr>
              <w:ind w:left="348"/>
            </w:pPr>
            <w:r w:rsidRPr="00F83936">
              <w:t>Diabetes mellitus (often reversible but can be permanent)</w:t>
            </w:r>
          </w:p>
          <w:p w14:paraId="2448F671" w14:textId="77777777" w:rsidR="00584FBF" w:rsidRPr="00F83936" w:rsidRDefault="00584FBF" w:rsidP="00584FBF">
            <w:pPr>
              <w:pStyle w:val="ListParagraph"/>
              <w:numPr>
                <w:ilvl w:val="0"/>
                <w:numId w:val="2"/>
              </w:numPr>
              <w:ind w:left="348"/>
            </w:pPr>
            <w:r>
              <w:t>Sustained mammary swelling or m</w:t>
            </w:r>
            <w:r w:rsidRPr="00F83936">
              <w:t>ammary cancer</w:t>
            </w:r>
          </w:p>
          <w:p w14:paraId="1E23211F" w14:textId="77777777" w:rsidR="00584FBF" w:rsidRPr="00F83936" w:rsidRDefault="00584FBF" w:rsidP="00584FBF">
            <w:pPr>
              <w:pStyle w:val="ListParagraph"/>
              <w:numPr>
                <w:ilvl w:val="0"/>
                <w:numId w:val="2"/>
              </w:numPr>
              <w:ind w:left="348"/>
            </w:pPr>
            <w:r w:rsidRPr="00F83936">
              <w:t>Adrenal gland suppression (stress hormone changes)</w:t>
            </w:r>
          </w:p>
        </w:tc>
      </w:tr>
    </w:tbl>
    <w:p w14:paraId="4012904F" w14:textId="77777777" w:rsidR="00584FBF" w:rsidRDefault="00584FBF" w:rsidP="00584FBF">
      <w:pPr>
        <w:spacing w:after="0" w:line="240" w:lineRule="auto"/>
        <w:rPr>
          <w:b/>
          <w:bCs/>
        </w:rPr>
      </w:pPr>
      <w:r>
        <w:br/>
      </w:r>
      <w:r w:rsidRPr="00F24B5E">
        <w:rPr>
          <w:b/>
          <w:bCs/>
        </w:rPr>
        <w:t>Contact your veterinarian or emergency vet clinic if you</w:t>
      </w:r>
      <w:r>
        <w:rPr>
          <w:b/>
          <w:bCs/>
        </w:rPr>
        <w:t xml:space="preserve"> suspect anything unusual or </w:t>
      </w:r>
      <w:r w:rsidRPr="00F24B5E">
        <w:rPr>
          <w:b/>
          <w:bCs/>
        </w:rPr>
        <w:t xml:space="preserve">notice any of the signs below: </w:t>
      </w:r>
    </w:p>
    <w:p w14:paraId="2336FE71" w14:textId="77777777" w:rsidR="00584FBF" w:rsidRPr="00AF7630" w:rsidRDefault="00584FBF" w:rsidP="00584FBF">
      <w:pPr>
        <w:spacing w:after="0" w:line="240" w:lineRule="auto"/>
        <w:rPr>
          <w:b/>
          <w:bCs/>
          <w:sz w:val="13"/>
          <w:szCs w:val="13"/>
        </w:rPr>
      </w:pPr>
    </w:p>
    <w:p w14:paraId="0FCC036E" w14:textId="77777777" w:rsidR="00584FBF" w:rsidRDefault="00584FBF" w:rsidP="00584FBF">
      <w:pPr>
        <w:pStyle w:val="ListParagraph"/>
        <w:numPr>
          <w:ilvl w:val="0"/>
          <w:numId w:val="3"/>
        </w:numPr>
        <w:spacing w:after="0" w:line="240" w:lineRule="auto"/>
      </w:pPr>
      <w:r>
        <w:t>D</w:t>
      </w:r>
      <w:r w:rsidRPr="00A90CD8">
        <w:t xml:space="preserve">ischarge on </w:t>
      </w:r>
      <w:r>
        <w:t>your cat’s</w:t>
      </w:r>
      <w:r w:rsidRPr="00A90CD8">
        <w:t xml:space="preserve"> rear</w:t>
      </w:r>
      <w:r>
        <w:t xml:space="preserve"> (contact a vet immediately) </w:t>
      </w:r>
      <w:r>
        <w:tab/>
        <w:t xml:space="preserve">  </w:t>
      </w:r>
    </w:p>
    <w:p w14:paraId="20AC464A" w14:textId="77777777" w:rsidR="00584FBF" w:rsidRDefault="00584FBF" w:rsidP="00584FBF">
      <w:pPr>
        <w:pStyle w:val="ListParagraph"/>
        <w:numPr>
          <w:ilvl w:val="0"/>
          <w:numId w:val="3"/>
        </w:numPr>
        <w:spacing w:after="0" w:line="240" w:lineRule="auto"/>
      </w:pPr>
      <w:r>
        <w:t>L</w:t>
      </w:r>
      <w:r w:rsidRPr="00A90CD8">
        <w:t>ethargy</w:t>
      </w:r>
      <w:r>
        <w:t xml:space="preserve"> or fever (contact a vet immediately) </w:t>
      </w:r>
      <w:r>
        <w:tab/>
      </w:r>
      <w:r>
        <w:tab/>
      </w:r>
      <w:r>
        <w:tab/>
        <w:t xml:space="preserve">  </w:t>
      </w:r>
    </w:p>
    <w:p w14:paraId="0C11489F" w14:textId="77777777" w:rsidR="00584FBF" w:rsidRDefault="00584FBF" w:rsidP="00584FBF">
      <w:pPr>
        <w:pStyle w:val="ListParagraph"/>
        <w:numPr>
          <w:ilvl w:val="0"/>
          <w:numId w:val="3"/>
        </w:numPr>
        <w:spacing w:after="0" w:line="240" w:lineRule="auto"/>
      </w:pPr>
      <w:r>
        <w:t>Shaking, collapse, or seizure (contact a vet immediately)</w:t>
      </w:r>
      <w:r>
        <w:tab/>
      </w:r>
      <w:r>
        <w:tab/>
        <w:t xml:space="preserve">  </w:t>
      </w:r>
    </w:p>
    <w:p w14:paraId="0E1BB709" w14:textId="77777777" w:rsidR="00584FBF" w:rsidRDefault="00584FBF" w:rsidP="00584FBF">
      <w:pPr>
        <w:pStyle w:val="ListParagraph"/>
        <w:numPr>
          <w:ilvl w:val="0"/>
          <w:numId w:val="3"/>
        </w:numPr>
        <w:tabs>
          <w:tab w:val="left" w:pos="3656"/>
        </w:tabs>
        <w:spacing w:after="0" w:line="240" w:lineRule="auto"/>
      </w:pPr>
      <w:r>
        <w:t>Increased thirst and urination</w:t>
      </w:r>
    </w:p>
    <w:p w14:paraId="58497B62" w14:textId="77777777" w:rsidR="00584FBF" w:rsidRDefault="00584FBF" w:rsidP="00584FBF">
      <w:pPr>
        <w:pStyle w:val="ListParagraph"/>
        <w:numPr>
          <w:ilvl w:val="0"/>
          <w:numId w:val="3"/>
        </w:numPr>
        <w:tabs>
          <w:tab w:val="left" w:pos="3656"/>
        </w:tabs>
        <w:spacing w:after="0" w:line="240" w:lineRule="auto"/>
      </w:pPr>
      <w:r>
        <w:t>Decreased appetite</w:t>
      </w:r>
    </w:p>
    <w:p w14:paraId="160F3166" w14:textId="77777777" w:rsidR="00584FBF" w:rsidRDefault="00584FBF" w:rsidP="00584FBF">
      <w:pPr>
        <w:pStyle w:val="ListParagraph"/>
        <w:numPr>
          <w:ilvl w:val="0"/>
          <w:numId w:val="3"/>
        </w:numPr>
        <w:tabs>
          <w:tab w:val="left" w:pos="3656"/>
        </w:tabs>
        <w:spacing w:after="0" w:line="240" w:lineRule="auto"/>
      </w:pPr>
      <w:r>
        <w:t>Abnormal or firm abdominal swelling</w:t>
      </w:r>
    </w:p>
    <w:p w14:paraId="5FE6E4E1" w14:textId="77777777" w:rsidR="00584FBF" w:rsidRDefault="00584FBF" w:rsidP="00584FBF">
      <w:pPr>
        <w:tabs>
          <w:tab w:val="left" w:pos="3656"/>
        </w:tabs>
        <w:spacing w:after="0" w:line="240" w:lineRule="auto"/>
      </w:pPr>
    </w:p>
    <w:p w14:paraId="37E768E0" w14:textId="77777777" w:rsidR="00584FBF" w:rsidRDefault="00584FBF" w:rsidP="00584FBF">
      <w:pPr>
        <w:tabs>
          <w:tab w:val="left" w:pos="3656"/>
        </w:tabs>
        <w:spacing w:after="0" w:line="240" w:lineRule="auto"/>
      </w:pPr>
      <w:r>
        <w:t xml:space="preserve">If you think your cat may be pregnant or your concern is not urgent, please email (including any relevant photos) to </w:t>
      </w:r>
      <w:hyperlink r:id="rId8" w:history="1">
        <w:r w:rsidRPr="00EF6329">
          <w:rPr>
            <w:rStyle w:val="Hyperlink"/>
          </w:rPr>
          <w:t>hospital@catadoptionteam.org</w:t>
        </w:r>
      </w:hyperlink>
      <w:r>
        <w:rPr>
          <w:rStyle w:val="Hyperlink"/>
        </w:rPr>
        <w:t>.</w:t>
      </w:r>
    </w:p>
    <w:p w14:paraId="43AF2ABF" w14:textId="77777777" w:rsidR="00584FBF" w:rsidRPr="00F83936" w:rsidRDefault="00584FBF" w:rsidP="00584FBF">
      <w:pPr>
        <w:tabs>
          <w:tab w:val="left" w:pos="3656"/>
        </w:tabs>
        <w:spacing w:after="0" w:line="240" w:lineRule="auto"/>
      </w:pPr>
    </w:p>
    <w:p w14:paraId="3207C544" w14:textId="77777777" w:rsidR="00584FBF" w:rsidRDefault="00584FBF" w:rsidP="00584FBF">
      <w:pPr>
        <w:spacing w:after="0" w:line="240" w:lineRule="auto"/>
        <w:rPr>
          <w:b/>
          <w:bCs/>
        </w:rPr>
      </w:pPr>
      <w:r w:rsidRPr="003739BD">
        <w:rPr>
          <w:b/>
          <w:bCs/>
        </w:rPr>
        <w:t>Handling precautions:</w:t>
      </w:r>
      <w:r>
        <w:rPr>
          <w:b/>
          <w:bCs/>
        </w:rPr>
        <w:t xml:space="preserve"> </w:t>
      </w:r>
      <w:r w:rsidRPr="00F83936">
        <w:t>If contact with skin occurs wash off with soap and water. This drug may cause fetal harm and may represent a hazard to males or females who are actively trying to conceive, women who are pregnant or may become pregnant, and women who are breast feeding.</w:t>
      </w:r>
    </w:p>
    <w:p w14:paraId="6F27A069" w14:textId="77777777" w:rsidR="00584FBF" w:rsidRDefault="00584FBF" w:rsidP="00584FBF">
      <w:pPr>
        <w:spacing w:after="0" w:line="240" w:lineRule="auto"/>
        <w:rPr>
          <w:b/>
          <w:bCs/>
        </w:rPr>
      </w:pPr>
    </w:p>
    <w:p w14:paraId="5E41CCC3" w14:textId="77777777" w:rsidR="00584FBF" w:rsidRDefault="00584FBF" w:rsidP="00584FBF">
      <w:pPr>
        <w:spacing w:after="0" w:line="240" w:lineRule="auto"/>
      </w:pPr>
      <w:r w:rsidRPr="00D97181">
        <w:rPr>
          <w:b/>
          <w:bCs/>
        </w:rPr>
        <w:t>For more information on MA</w:t>
      </w:r>
      <w:r w:rsidRPr="00F83936">
        <w:t xml:space="preserve">, please visit The Alliance for Contraception in Cats &amp; Dogs’ </w:t>
      </w:r>
      <w:hyperlink r:id="rId9" w:history="1">
        <w:r w:rsidRPr="00D97181">
          <w:rPr>
            <w:rStyle w:val="Hyperlink"/>
          </w:rPr>
          <w:t>websi</w:t>
        </w:r>
        <w:r w:rsidRPr="00D97181">
          <w:rPr>
            <w:rStyle w:val="Hyperlink"/>
          </w:rPr>
          <w:t>t</w:t>
        </w:r>
        <w:r w:rsidRPr="00D97181">
          <w:rPr>
            <w:rStyle w:val="Hyperlink"/>
          </w:rPr>
          <w:t>e</w:t>
        </w:r>
      </w:hyperlink>
      <w:r w:rsidRPr="00F83936">
        <w:t xml:space="preserve"> </w:t>
      </w:r>
      <w:r>
        <w:t xml:space="preserve">or email </w:t>
      </w:r>
      <w:hyperlink r:id="rId10" w:history="1">
        <w:r w:rsidRPr="00EF6329">
          <w:rPr>
            <w:rStyle w:val="Hyperlink"/>
          </w:rPr>
          <w:t>hospital@catadoptionteam.org</w:t>
        </w:r>
      </w:hyperlink>
      <w:r>
        <w:t>.</w:t>
      </w:r>
    </w:p>
    <w:p w14:paraId="1D592EFB" w14:textId="77777777" w:rsidR="00584FBF" w:rsidRPr="00F83936" w:rsidRDefault="00584FBF" w:rsidP="00584FBF">
      <w:pPr>
        <w:spacing w:after="0" w:line="240" w:lineRule="auto"/>
      </w:pPr>
    </w:p>
    <w:p w14:paraId="1185AA90" w14:textId="77777777" w:rsidR="00330941" w:rsidRDefault="00F214B6"/>
    <w:sectPr w:rsidR="00330941" w:rsidSect="00584FBF">
      <w:headerReference w:type="default" r:id="rId11"/>
      <w:footerReference w:type="default" r:id="rId12"/>
      <w:type w:val="continuous"/>
      <w:pgSz w:w="12240" w:h="15840"/>
      <w:pgMar w:top="720" w:right="720" w:bottom="720" w:left="720" w:header="36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88FD" w14:textId="77777777" w:rsidR="00F214B6" w:rsidRDefault="00F214B6" w:rsidP="00584FBF">
      <w:pPr>
        <w:spacing w:after="0" w:line="240" w:lineRule="auto"/>
      </w:pPr>
      <w:r>
        <w:separator/>
      </w:r>
    </w:p>
  </w:endnote>
  <w:endnote w:type="continuationSeparator" w:id="0">
    <w:p w14:paraId="365CFE62" w14:textId="77777777" w:rsidR="00F214B6" w:rsidRDefault="00F214B6" w:rsidP="0058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Body)">
    <w:altName w:val="Calibri"/>
    <w:panose1 w:val="020B0604020202020204"/>
    <w:charset w:val="00"/>
    <w:family w:val="roman"/>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B372" w14:textId="77777777" w:rsidR="00BC1908" w:rsidRPr="00854DA7" w:rsidRDefault="00F214B6">
    <w:pPr>
      <w:pStyle w:val="Footer"/>
      <w:rPr>
        <w:rFonts w:asciiTheme="majorHAnsi" w:hAnsiTheme="majorHAnsi"/>
        <w:sz w:val="16"/>
        <w:szCs w:val="16"/>
      </w:rPr>
    </w:pPr>
    <w:r>
      <w:tab/>
    </w:r>
    <w:r>
      <w:tab/>
    </w:r>
  </w:p>
  <w:p w14:paraId="0B8CD24B" w14:textId="77777777" w:rsidR="00BC1908" w:rsidRPr="00E02230" w:rsidRDefault="00F214B6" w:rsidP="00BC1908">
    <w:pPr>
      <w:pStyle w:val="Footer"/>
      <w:jc w:val="right"/>
      <w:rPr>
        <w:rFonts w:ascii="Calibri" w:hAnsi="Calibr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32DF" w14:textId="77777777" w:rsidR="00F214B6" w:rsidRDefault="00F214B6" w:rsidP="00584FBF">
      <w:pPr>
        <w:spacing w:after="0" w:line="240" w:lineRule="auto"/>
      </w:pPr>
      <w:r>
        <w:separator/>
      </w:r>
    </w:p>
  </w:footnote>
  <w:footnote w:type="continuationSeparator" w:id="0">
    <w:p w14:paraId="08D9CC95" w14:textId="77777777" w:rsidR="00F214B6" w:rsidRDefault="00F214B6" w:rsidP="0058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D5BC" w14:textId="179C51F1" w:rsidR="00AF7630" w:rsidRDefault="00F214B6" w:rsidP="00AF7630">
    <w:pPr>
      <w:pStyle w:val="Header"/>
      <w:tabs>
        <w:tab w:val="clear" w:pos="4320"/>
        <w:tab w:val="clear" w:pos="8640"/>
        <w:tab w:val="center" w:pos="5040"/>
      </w:tabs>
      <w:jc w:val="right"/>
      <w:rPr>
        <w:rFonts w:ascii="Calibri" w:hAnsi="Calibri" w:cs="Arial"/>
        <w:sz w:val="28"/>
        <w:szCs w:val="28"/>
      </w:rPr>
    </w:pPr>
  </w:p>
  <w:p w14:paraId="12CA3BE8" w14:textId="77777777" w:rsidR="00AF7630" w:rsidRDefault="00F214B6" w:rsidP="00757562">
    <w:pPr>
      <w:pStyle w:val="Header"/>
      <w:tabs>
        <w:tab w:val="clear" w:pos="4320"/>
        <w:tab w:val="clear" w:pos="8640"/>
        <w:tab w:val="center" w:pos="5040"/>
      </w:tabs>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BA6"/>
    <w:multiLevelType w:val="hybridMultilevel"/>
    <w:tmpl w:val="F4A85EE8"/>
    <w:lvl w:ilvl="0" w:tplc="05A283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A926D7"/>
    <w:multiLevelType w:val="hybridMultilevel"/>
    <w:tmpl w:val="A21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42105"/>
    <w:multiLevelType w:val="hybridMultilevel"/>
    <w:tmpl w:val="D16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BF"/>
    <w:rsid w:val="000F3BB7"/>
    <w:rsid w:val="00162C07"/>
    <w:rsid w:val="001D1580"/>
    <w:rsid w:val="003F6577"/>
    <w:rsid w:val="0049168D"/>
    <w:rsid w:val="00540ED5"/>
    <w:rsid w:val="00584FBF"/>
    <w:rsid w:val="005B65AF"/>
    <w:rsid w:val="006B6BF1"/>
    <w:rsid w:val="00747774"/>
    <w:rsid w:val="00864AE8"/>
    <w:rsid w:val="00905800"/>
    <w:rsid w:val="00C95F0F"/>
    <w:rsid w:val="00CC1640"/>
    <w:rsid w:val="00F2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0E58"/>
  <w15:chartTrackingRefBased/>
  <w15:docId w15:val="{DC5EAF42-943A-8944-9652-CE487B18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FBF"/>
    <w:pPr>
      <w:spacing w:after="160" w:line="259" w:lineRule="auto"/>
    </w:pPr>
    <w:rPr>
      <w:rFonts w:cstheme="minorBidi"/>
      <w:sz w:val="22"/>
      <w:szCs w:val="22"/>
    </w:rPr>
  </w:style>
  <w:style w:type="paragraph" w:styleId="Heading1">
    <w:name w:val="heading 1"/>
    <w:basedOn w:val="Normal"/>
    <w:next w:val="Normal"/>
    <w:link w:val="Heading1Char"/>
    <w:uiPriority w:val="9"/>
    <w:qFormat/>
    <w:rsid w:val="00CC16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64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CC1640"/>
    <w:rPr>
      <w:b/>
      <w:bCs/>
    </w:rPr>
  </w:style>
  <w:style w:type="character" w:styleId="Emphasis">
    <w:name w:val="Emphasis"/>
    <w:basedOn w:val="DefaultParagraphFont"/>
    <w:uiPriority w:val="20"/>
    <w:qFormat/>
    <w:rsid w:val="00CC1640"/>
    <w:rPr>
      <w:i/>
      <w:iCs/>
    </w:rPr>
  </w:style>
  <w:style w:type="paragraph" w:styleId="ListParagraph">
    <w:name w:val="List Paragraph"/>
    <w:basedOn w:val="Normal"/>
    <w:uiPriority w:val="34"/>
    <w:qFormat/>
    <w:rsid w:val="00CC1640"/>
    <w:pPr>
      <w:ind w:left="720"/>
      <w:contextualSpacing/>
    </w:pPr>
    <w:rPr>
      <w:rFonts w:eastAsia="Times New Roman" w:cs="Times New Roman"/>
    </w:rPr>
  </w:style>
  <w:style w:type="character" w:styleId="IntenseReference">
    <w:name w:val="Intense Reference"/>
    <w:basedOn w:val="DefaultParagraphFont"/>
    <w:uiPriority w:val="32"/>
    <w:qFormat/>
    <w:rsid w:val="00CC1640"/>
    <w:rPr>
      <w:b/>
      <w:bCs/>
      <w:smallCaps/>
      <w:color w:val="4F81BD" w:themeColor="accent1"/>
      <w:spacing w:val="5"/>
    </w:rPr>
  </w:style>
  <w:style w:type="paragraph" w:styleId="Header">
    <w:name w:val="header"/>
    <w:basedOn w:val="Normal"/>
    <w:link w:val="HeaderChar"/>
    <w:uiPriority w:val="99"/>
    <w:rsid w:val="00584FB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84FBF"/>
    <w:rPr>
      <w:rFonts w:ascii="Times New Roman" w:eastAsia="Times New Roman" w:hAnsi="Times New Roman" w:cs="Times New Roman"/>
      <w:sz w:val="20"/>
      <w:szCs w:val="20"/>
    </w:rPr>
  </w:style>
  <w:style w:type="paragraph" w:styleId="Footer">
    <w:name w:val="footer"/>
    <w:basedOn w:val="Normal"/>
    <w:link w:val="FooterChar"/>
    <w:rsid w:val="00584F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84FBF"/>
    <w:rPr>
      <w:rFonts w:ascii="Times New Roman" w:eastAsia="Times New Roman" w:hAnsi="Times New Roman" w:cs="Times New Roman"/>
    </w:rPr>
  </w:style>
  <w:style w:type="table" w:styleId="TableGrid">
    <w:name w:val="Table Grid"/>
    <w:basedOn w:val="TableNormal"/>
    <w:uiPriority w:val="39"/>
    <w:rsid w:val="00584FBF"/>
    <w:pPr>
      <w:spacing w:after="0"/>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FBF"/>
    <w:rPr>
      <w:color w:val="0000FF" w:themeColor="hyperlink"/>
      <w:u w:val="single"/>
    </w:rPr>
  </w:style>
  <w:style w:type="character" w:styleId="FollowedHyperlink">
    <w:name w:val="FollowedHyperlink"/>
    <w:basedOn w:val="DefaultParagraphFont"/>
    <w:uiPriority w:val="99"/>
    <w:semiHidden/>
    <w:unhideWhenUsed/>
    <w:rsid w:val="00584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tal@catadoptiontea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pital@catadoptionteam.org" TargetMode="External"/><Relationship Id="rId4" Type="http://schemas.openxmlformats.org/officeDocument/2006/relationships/webSettings" Target="webSettings.xml"/><Relationship Id="rId9" Type="http://schemas.openxmlformats.org/officeDocument/2006/relationships/hyperlink" Target="https://www.acc-d.org/cat-ma-clinic" TargetMode="External"/><Relationship Id="rId14" Type="http://schemas.openxmlformats.org/officeDocument/2006/relationships/theme" Target="theme/theme1.xml"/></Relationships>
</file>

<file path=word/theme/theme1.xml><?xml version="1.0" encoding="utf-8"?>
<a:theme xmlns:a="http://schemas.openxmlformats.org/drawingml/2006/main" name="ACCD Blue Theme">
  <a:themeElements>
    <a:clrScheme name="ACCD Blue Theme ">
      <a:dk1>
        <a:srgbClr val="000000"/>
      </a:dk1>
      <a:lt1>
        <a:srgbClr val="FFFFFF"/>
      </a:lt1>
      <a:dk2>
        <a:srgbClr val="167B8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CCD Blue Theme" id="{6DC983A9-8632-1841-B9E7-AFEDC8CB526A}" vid="{030ED578-257E-3945-947F-5964B7551DE4}"/>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 Hwang</dc:creator>
  <cp:keywords/>
  <dc:description/>
  <cp:lastModifiedBy>Adelia Hwang</cp:lastModifiedBy>
  <cp:revision>1</cp:revision>
  <dcterms:created xsi:type="dcterms:W3CDTF">2022-02-15T01:20:00Z</dcterms:created>
  <dcterms:modified xsi:type="dcterms:W3CDTF">2022-02-15T01:22:00Z</dcterms:modified>
</cp:coreProperties>
</file>